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0DFC52">
      <w:pPr>
        <w:keepNext w:val="0"/>
        <w:keepLines w:val="0"/>
        <w:pageBreakBefore w:val="0"/>
        <w:widowControl w:val="0"/>
        <w:kinsoku/>
        <w:wordWrap/>
        <w:overflowPunct/>
        <w:topLinePunct w:val="0"/>
        <w:autoSpaceDE/>
        <w:autoSpaceDN/>
        <w:bidi w:val="0"/>
        <w:adjustRightInd/>
        <w:snapToGrid/>
        <w:spacing w:line="59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第三讲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《中国动态血压监测基层应用指南（2024年）》解读</w:t>
      </w:r>
    </w:p>
    <w:p w14:paraId="701B9839">
      <w:pPr>
        <w:keepNext w:val="0"/>
        <w:keepLines w:val="0"/>
        <w:pageBreakBefore w:val="0"/>
        <w:kinsoku/>
        <w:wordWrap/>
        <w:overflowPunct/>
        <w:topLinePunct w:val="0"/>
        <w:autoSpaceDE/>
        <w:autoSpaceDN/>
        <w:bidi w:val="0"/>
        <w:adjustRightInd/>
        <w:snapToGrid/>
        <w:spacing w:line="590" w:lineRule="exact"/>
        <w:ind w:firstLine="1600" w:firstLineChars="5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联勤保障部队第九〇〇医院</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涂传龙</w:t>
      </w:r>
    </w:p>
    <w:p w14:paraId="794A157D">
      <w:pPr>
        <w:keepNext w:val="0"/>
        <w:keepLines w:val="0"/>
        <w:pageBreakBefore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lang w:val="en-US" w:eastAsia="zh-CN"/>
        </w:rPr>
      </w:pPr>
    </w:p>
    <w:p w14:paraId="7F96864F">
      <w:pPr>
        <w:keepNext w:val="0"/>
        <w:keepLines w:val="0"/>
        <w:pageBreakBefore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随着人口老龄化和城镇化进程，我国高血压患病率逐年升高，而高血压管理控制情况不容乐观，2012—2015年的全国调查显示，我国18岁及以上人群高血压知晓率、治疗率和控制率仅为51.6%、45.8%和16.8%，总体处于较低水平。对个体进行全面、准确的血压评估，从而制定个体化的高血压诊疗策略非常重要。动态血压监测（ambulatory blood pressure monitoring，ABPM）是诊断高血压、评估心脑血管疾病风险、评价降压疗效、指导个体化降压治疗的重要手段，在高血压的诊断与管理中占有重要的地位。</w:t>
      </w:r>
    </w:p>
    <w:p w14:paraId="0680783D">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促进基层医疗卫生机构规范开展ABPM工作，提高高血压诊断、评估与管理效果，中华医学会、中华医学会杂志社、高血压联盟（中国）、《中华全科医师杂志》编辑委员会以及中华医学会全科医学分会组织来自心血管内科、全科医学等领域的专家，基于ABPM的循证医学证据，结合国内外相关指南、共识、建议等，共同制订了《中国动态血压监测基层应用指南（2024年）》。本指南适用于在基层工作的全科医师、内科医师及其他相关医务人员。本文结合《中国动态血压监测基层应用指南（2024年）》（后文简称为《指南》）的推荐意见，重点解读动态血压监测的适应证、监测方法、结果判读、在高血压诊断与管理中的应用、在特殊人群中的应用、患者指导等。</w:t>
      </w:r>
    </w:p>
    <w:p w14:paraId="2834B7AB">
      <w:pPr>
        <w:keepNext w:val="0"/>
        <w:keepLines w:val="0"/>
        <w:pageBreakBefore w:val="0"/>
        <w:widowControl/>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第一部分 常用血压测量方法</w:t>
      </w:r>
    </w:p>
    <w:p w14:paraId="04BDACB7">
      <w:pPr>
        <w:keepNext w:val="0"/>
        <w:keepLines w:val="0"/>
        <w:pageBreakBefore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准确测量血压是高血压筛查、诊断及管理的基础，选择合适的血压测量设备、采用正确的测量方法对于准确测量血压至关重要。目前高血压的诊断和管理主要是基于 诊室血压测量（office blood pressure measurement，OBPM）、家庭血压监测（home blood pressure monitoring，HBPM）和24hABPM。</w:t>
      </w:r>
    </w:p>
    <w:p w14:paraId="09080CF5">
      <w:pPr>
        <w:spacing w:after="0"/>
        <w:rPr>
          <w:rFonts w:hint="eastAsia" w:ascii="仿宋_GB2312" w:hAnsi="仿宋_GB2312" w:eastAsia="仿宋_GB2312" w:cs="仿宋_GB2312"/>
          <w:b w:val="0"/>
          <w:bCs w:val="0"/>
        </w:rPr>
      </w:pPr>
      <w:r>
        <w:rPr>
          <w:rFonts w:hint="eastAsia" w:ascii="仿宋_GB2312" w:hAnsi="仿宋_GB2312" w:eastAsia="仿宋_GB2312" w:cs="仿宋_GB2312"/>
          <w:b w:val="0"/>
          <w:bCs w:val="0"/>
        </w:rPr>
        <w:t xml:space="preserve">  </w:t>
      </w:r>
      <w:r>
        <w:rPr>
          <w:rFonts w:hint="eastAsia" w:ascii="仿宋_GB2312" w:hAnsi="仿宋_GB2312" w:eastAsia="仿宋_GB2312" w:cs="仿宋_GB2312"/>
          <w:b w:val="0"/>
          <w:bCs w:val="0"/>
          <w:sz w:val="32"/>
          <w:szCs w:val="32"/>
        </w:rPr>
        <w:t xml:space="preserve">  OBPM、HBPM、ABPM诊断阈值的对应关系见表1 </w:t>
      </w:r>
    </w:p>
    <w:p w14:paraId="21488959">
      <w:pPr>
        <w:rPr>
          <w:rFonts w:hint="eastAsia" w:ascii="宋体" w:hAnsi="宋体" w:eastAsia="宋体"/>
        </w:rPr>
      </w:pPr>
      <w:r>
        <w:drawing>
          <wp:inline distT="0" distB="0" distL="0" distR="0">
            <wp:extent cx="5274310" cy="2865755"/>
            <wp:effectExtent l="0" t="0" r="2540" b="0"/>
            <wp:docPr id="18790905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09055" name="图片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274310" cy="2865755"/>
                    </a:xfrm>
                    <a:prstGeom prst="rect">
                      <a:avLst/>
                    </a:prstGeom>
                    <a:noFill/>
                    <a:ln>
                      <a:noFill/>
                    </a:ln>
                  </pic:spPr>
                </pic:pic>
              </a:graphicData>
            </a:graphic>
          </wp:inline>
        </w:drawing>
      </w:r>
    </w:p>
    <w:p w14:paraId="71ED720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OBPM、ABPM和 HBPM均可用于高血压的诊断与管理，而ABPM诊断高血压的敏感性</w:t>
      </w:r>
      <w:bookmarkStart w:id="0" w:name="_GoBack"/>
      <w:bookmarkEnd w:id="0"/>
      <w:r>
        <w:rPr>
          <w:rFonts w:hint="eastAsia" w:ascii="仿宋_GB2312" w:hAnsi="仿宋_GB2312" w:eastAsia="仿宋_GB2312" w:cs="仿宋_GB2312"/>
          <w:sz w:val="32"/>
          <w:szCs w:val="32"/>
        </w:rPr>
        <w:t>和特异性优于OBPM和HBPM，可同时评估个体在日常生活状态下的血压状态，鉴别白大衣性高血压、隐蔽性高血压、夜间高血压和真性难治性高血压，同时可更准确地预测个体心脑血管事件发生和死亡风险。</w:t>
      </w:r>
    </w:p>
    <w:p w14:paraId="55AC73D0">
      <w:pPr>
        <w:keepNext w:val="0"/>
        <w:keepLines w:val="0"/>
        <w:pageBreakBefore w:val="0"/>
        <w:widowControl/>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第二部分  动态血压监测的适应证与禁忌证</w:t>
      </w:r>
    </w:p>
    <w:p w14:paraId="65421BCB">
      <w:pPr>
        <w:keepNext w:val="0"/>
        <w:keepLines w:val="0"/>
        <w:pageBreakBefore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ABPM是一种无创的血压测量方法，没有绝对禁忌证，但对于部分人群，需谨慎评估检测结果。</w:t>
      </w:r>
    </w:p>
    <w:p w14:paraId="77A0319F">
      <w:pPr>
        <w:keepNext w:val="0"/>
        <w:keepLines w:val="0"/>
        <w:pageBreakBefore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ABPM适应证总结如下：</w:t>
      </w:r>
    </w:p>
    <w:p w14:paraId="3F49B90C">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（1）新近发现诊室或随机测量血压升高需确诊者；</w:t>
      </w:r>
    </w:p>
    <w:p w14:paraId="420EDEDD">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（2）启动降压药物治疗后，拟判断治疗是否有效的患者；</w:t>
      </w:r>
    </w:p>
    <w:p w14:paraId="4591B588">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（3）接受降压药物治疗后，血压仍未达标或血压变化波动大的患者；</w:t>
      </w:r>
    </w:p>
    <w:p w14:paraId="22B925A3">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（4）难治性高血压患者；</w:t>
      </w:r>
    </w:p>
    <w:p w14:paraId="0C6315D4">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（5）OBPM正常，但存在高血压相关的靶器官损伤或心血管疾病，怀疑隐蔽性高血压或隐蔽性未控制高血压的患者；</w:t>
      </w:r>
    </w:p>
    <w:p w14:paraId="1FBFC44F">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（6）HBPM发现清晨高血压的患者；</w:t>
      </w:r>
    </w:p>
    <w:p w14:paraId="57E9318C">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（7）怀疑白大衣性高血压的患者；</w:t>
      </w:r>
    </w:p>
    <w:p w14:paraId="3E2D73A9">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（8）有晕厥史、餐后低血压或体位性低血压的患者；</w:t>
      </w:r>
    </w:p>
    <w:p w14:paraId="4DC2C448">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（9）妊娠期高血压患者；</w:t>
      </w:r>
    </w:p>
    <w:p w14:paraId="5F30D3A3">
      <w:pPr>
        <w:keepNext w:val="0"/>
        <w:keepLines w:val="0"/>
        <w:pageBreakBefore w:val="0"/>
        <w:kinsoku/>
        <w:wordWrap/>
        <w:overflowPunct/>
        <w:topLinePunct w:val="0"/>
        <w:autoSpaceDE/>
        <w:autoSpaceDN/>
        <w:bidi w:val="0"/>
        <w:adjustRightInd/>
        <w:snapToGrid/>
        <w:spacing w:after="0" w:line="590" w:lineRule="exact"/>
        <w:ind w:firstLine="320" w:firstLineChars="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（10）儿童及青少年高血压。</w:t>
      </w:r>
    </w:p>
    <w:p w14:paraId="28D07C16">
      <w:pPr>
        <w:keepNext w:val="0"/>
        <w:keepLines w:val="0"/>
        <w:pageBreakBefore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第三部分 动态血压监测方法</w:t>
      </w:r>
    </w:p>
    <w:p w14:paraId="3052B82A">
      <w:pPr>
        <w:keepNext w:val="0"/>
        <w:keepLines w:val="0"/>
        <w:pageBreakBefore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应选择通过国际标准方案验证的ABPM设备，由经过培训的专业人员按照标准流程为受检者安装ABPM设备。进行ABPM时应为患者提供动态血压日记卡。监测完成后出具标准化的ABPM报告。</w:t>
      </w:r>
    </w:p>
    <w:p w14:paraId="7892A932">
      <w:pPr>
        <w:rPr>
          <w:rFonts w:hint="eastAsia" w:ascii="宋体" w:hAnsi="宋体" w:eastAsia="宋体"/>
        </w:rPr>
      </w:pPr>
      <w:r>
        <w:drawing>
          <wp:inline distT="0" distB="0" distL="0" distR="0">
            <wp:extent cx="5274310" cy="3196590"/>
            <wp:effectExtent l="0" t="0" r="2540" b="3810"/>
            <wp:docPr id="18848955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89556" name="图片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3196590"/>
                    </a:xfrm>
                    <a:prstGeom prst="rect">
                      <a:avLst/>
                    </a:prstGeom>
                    <a:noFill/>
                    <a:ln>
                      <a:noFill/>
                    </a:ln>
                  </pic:spPr>
                </pic:pic>
              </a:graphicData>
            </a:graphic>
          </wp:inline>
        </w:drawing>
      </w:r>
    </w:p>
    <w:p w14:paraId="5F43306D">
      <w:pPr>
        <w:rPr>
          <w:rFonts w:hint="eastAsia" w:ascii="宋体" w:hAnsi="宋体" w:eastAsia="宋体"/>
        </w:rPr>
      </w:pPr>
      <w:r>
        <w:rPr>
          <w:rFonts w:hint="eastAsia" w:ascii="宋体" w:hAnsi="宋体" w:eastAsia="宋体"/>
        </w:rPr>
        <w:t>（图来自原文:动态血压监测设备安装要点示意图</w:t>
      </w:r>
    </w:p>
    <w:p w14:paraId="08BB3291">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注：（1）监测方案应包括：①设置监测时间段：日间每15~30 min测量1次，夜间每30min测量1次；②重复测压功能：若测压读数偏差或未测出，动态血压计将在1~3 min内自动重复测量1次。（2）监测手臂选择：监测前分别测量左右两侧上臂诊室血压，差值≥10mmHg（1mmHg=0.133 kPa）时应选择血压读数高的一侧进行监测，差值＜10mmHg时则选择非优势手臂，以减少手臂活动造成的影响。（3）袖带的选择与安装要求：大部分成年人选择标准袖带，肥胖、上臂臂围较大（≥32cm）者选择大袖带，臂围较小（&lt;24cm）者选择小袖带；儿童应根据臂围选择对应的袖带，袖带气囊长度需覆盖上臂周径至少80%，宽度为长度的40%。袖带最好与上臂贴紧，建议内衬一件全棉薄内衣或一层纱布。袖带压力管应在上臂外延向上伸出，确保前臂活动不受限，并将袖带上的指示箭头对准前臂肱动脉搏动处，袖带下缘应位于肘窝上约2.5cm，固定松紧适宜，以能插入1~2手指为宜。（4）应请受检者在动态血压日记卡上记录监测期间睡眠和清醒的时间段、服用的药物、出现的症状及特殊活动情况等。</w:t>
      </w:r>
    </w:p>
    <w:p w14:paraId="2401B115">
      <w:pPr>
        <w:keepNext w:val="0"/>
        <w:keepLines w:val="0"/>
        <w:pageBreakBefore w:val="0"/>
        <w:widowControl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第四部分 动态血压监测结果判读</w:t>
      </w:r>
    </w:p>
    <w:p w14:paraId="1E9A5651">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一、基本定义及其判断标准</w:t>
      </w:r>
    </w:p>
    <w:p w14:paraId="09805328">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1．血压监测结果有效性判断：ABPM的时间应尽可能不少于24小时，有效读数在设定应获得读数的70%以上，日间血压读数至少20个，夜间血压读数至少7个。</w:t>
      </w:r>
    </w:p>
    <w:p w14:paraId="55496A8C">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2．日间时段和夜间时段：建议以动态血压监测日记卡所记录的早晨觉醒和晚上入睡时间来定义日间和夜间时段，日间时段最好扣除掉午睡时段。</w:t>
      </w:r>
    </w:p>
    <w:p w14:paraId="3D0EF458">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3．清晨时段：动态血压日记卡记录的清晨觉醒后2h内。如未记录清晨觉醒时间，也可以采用固定时间段定义，如早6点至10点。</w:t>
      </w:r>
    </w:p>
    <w:p w14:paraId="21EE19A0">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4．各时段动态血压的正常值：建议根据24 h、日间和夜间的平均收缩压和平均舒张压水平进行判断，24h血压平均值小于130/80mmHg，日间血压平均值小于135/85mmHg，夜间血压平均值小于120/70 mmHg。高于上述标准时可诊断为相应时段的高血压。</w:t>
      </w:r>
    </w:p>
    <w:p w14:paraId="4659CB71">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二、反映血压昼夜节律的指标</w:t>
      </w:r>
    </w:p>
    <w:p w14:paraId="12890942">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1．夜间血压下降率：（日间血压平均值-夜间血压平均值）/日间血压平均值×100%。正常血压昼夜节律应为日间血压高于夜间血压，血压变化曲线呈长柄勺状，夜间血压下降率为10%~&lt;20%，称为杓型血压。</w:t>
      </w:r>
    </w:p>
    <w:p w14:paraId="7DDE905A">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2．晨峰血压：为起床后2h内收缩压平均值减去夜间睡眠时收缩压最低值（最低值及最低值前后2个读数，即3个读数的平均值），大于等于35mmHg时为晨峰血压升高 。</w:t>
      </w:r>
    </w:p>
    <w:p w14:paraId="5E54D8E2">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三、血压变异性指标</w:t>
      </w:r>
    </w:p>
    <w:p w14:paraId="4A82CF29">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1．血压标准差：反映在单位时间内（24 h、日间、夜间）血压波动的程度。标准差越大，血压变异和波动越大。</w:t>
      </w:r>
    </w:p>
    <w:p w14:paraId="7811509B">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2．血压变异系数：通过各时段动态血压的标准差除以动态血压均值可分别得出24 h、日间、夜间血压变异系数。变异系数越大，血压变异和波动越大。</w:t>
      </w:r>
    </w:p>
    <w:p w14:paraId="4B4E49D6">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四、血压负荷指标</w:t>
      </w:r>
    </w:p>
    <w:p w14:paraId="2D351516">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血压负荷一般指某一时段（日间、夜间或24h）血压超出正常值的次数占总血压测量次数的比例，可用于辅助诊断高血压并判断高血压患者的血压控制程度。</w:t>
      </w:r>
    </w:p>
    <w:p w14:paraId="131B7816">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第五部分 动态血压监测在高血压诊断与管理中的应用</w:t>
      </w:r>
    </w:p>
    <w:p w14:paraId="4876EC67">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一、高血压的诊断与分型</w:t>
      </w:r>
    </w:p>
    <w:p w14:paraId="15580410">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1．动态血压诊断高血压的标准：根据动态血压诊断高血压的阈值主要基于流行病学证据。目前，多数指南建议的动态血压诊断高血压的标准为24平均血压≥130/80 mmHg；日间（清醒）平均血压≥135/85 mmHg；夜间（睡眠）平均血压≥120/70 mmHg 。</w:t>
      </w:r>
    </w:p>
    <w:p w14:paraId="6CA088B7">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鉴别白大衣性高血压和隐蔽性高血压：白大衣性高血压是指诊室血压升高而诊室外血压正常，常见于女性、老人和轻度高血压患者等，又称为白大衣现象。白大衣性高血压诊断标准为诊室血压≥140/90mmHg，而24h平均血压&lt;130/80 mmHg，日间平均血压&lt;135/85 mmHg，夜间平均血压&lt;120/70 mmHg。</w:t>
      </w:r>
    </w:p>
    <w:p w14:paraId="65A9C971">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鉴于白大衣性高血压进展为持续性高血压的风险较高，应加强诊室外血压监测以确保及早了解病情进展情况。有条件时建议每年复查动态血压监测，尽早发现转变为持续性高血压的患者，以便及早启动降压药物治疗。</w:t>
      </w:r>
    </w:p>
    <w:p w14:paraId="3DA1E2B8">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隐蔽性高血压是指诊室血压正常而诊室外血压升高。隐蔽性高血压诊断标准为诊室血压&lt;140/90mmHg，而24h平均血压≥130/80mmHg，和/或日间平均血压≥135/85mmHg，和/或夜间平均血压≥120/70mmHg。</w:t>
      </w:r>
    </w:p>
    <w:p w14:paraId="0683918D">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动态血压监测是检测隐蔽性高血压的首选方法，建议对隐蔽性高血压高危人群进行动态血压监测以免漏诊，如男性、老年人、超重或肥胖者、吸烟者、糖尿病或高胆固醇血症患者等，尤其是诊室血压处于正常高值但已出现明显靶器官损害的患者。</w:t>
      </w:r>
    </w:p>
    <w:p w14:paraId="0073867F">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隐蔽性高血压可表现为清晨、夜间和/或日间高血压，其危险因素不尽相同，如日间高血压可能与工作和家庭压力、身体活动水平、吸烟等有关，而夜间高血压往往与高盐饮食、慢性肾脏病、糖尿病、睡眠呼吸暂停综合征等有关。</w:t>
      </w:r>
    </w:p>
    <w:p w14:paraId="3AFC2BED">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高血压分型及其诊断标准详见表2</w:t>
      </w:r>
    </w:p>
    <w:p w14:paraId="2B316519">
      <w:pPr>
        <w:keepNext w:val="0"/>
        <w:keepLines w:val="0"/>
        <w:pageBreakBefore w:val="0"/>
        <w:widowControl w:val="0"/>
        <w:kinsoku/>
        <w:wordWrap/>
        <w:overflowPunct/>
        <w:topLinePunct w:val="0"/>
        <w:autoSpaceDE/>
        <w:autoSpaceDN/>
        <w:bidi w:val="0"/>
        <w:adjustRightInd/>
        <w:snapToGrid/>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5274310" cy="1304290"/>
            <wp:effectExtent l="0" t="0" r="2540" b="0"/>
            <wp:docPr id="65330809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308097"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1304290"/>
                    </a:xfrm>
                    <a:prstGeom prst="rect">
                      <a:avLst/>
                    </a:prstGeom>
                    <a:noFill/>
                    <a:ln>
                      <a:noFill/>
                    </a:ln>
                  </pic:spPr>
                </pic:pic>
              </a:graphicData>
            </a:graphic>
          </wp:inline>
        </w:drawing>
      </w:r>
    </w:p>
    <w:p w14:paraId="7A3E7CEB">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3．识别异常的血压昼夜节律：根据昼夜血压变化血压昼夜节律可分为杓型、非杓型、反杓型和超杓型。</w:t>
      </w:r>
    </w:p>
    <w:p w14:paraId="4A4B2C7F">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（1）杓型血压：夜间收缩压和/或舒张压较日间下降率10%~&lt;20%，或夜间/日间血压比值&gt;0.8~0.9，为正常血压昼夜节律。</w:t>
      </w:r>
    </w:p>
    <w:p w14:paraId="40F6D7FB">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（2）非杓型血压：夜间收缩压和/或舒张压较日间下降率1%~&lt;10%，或夜间/日间血压比值&gt;0.9~1.0。夜间血压下降幅度减小与心血管疾病风险增加相关。</w:t>
      </w:r>
    </w:p>
    <w:p w14:paraId="58C89BD6">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（3）反杓型血压：夜间收缩压和/或舒张压较日间不降反升，或夜间/日间血压比值&gt;1.0，其与心血管疾病风险增加相关。</w:t>
      </w:r>
    </w:p>
    <w:p w14:paraId="230F50E9">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（4）超杓型血压：夜间收缩压和/或舒张压较日间降低≥20%，或夜间/日间血压比值≤0.8，其与心血管疾病风险的关联尚存在争议。</w:t>
      </w:r>
    </w:p>
    <w:p w14:paraId="1D9FD144">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4.识别清晨高血压：清晨血压是指动态血压监测记录的起床后2h内的血压，动态血压监测可用于识别清晨高血压。清晨血压的平均值如≥135/85 mmHg定义为清晨高血压，无论其他时段的血压是否升高。</w:t>
      </w:r>
    </w:p>
    <w:p w14:paraId="172BD048">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5．识别夜间高血压：动态血压监测是夜间血压评估的常规方法，也是夜间高血压诊断的标准方法。推荐将夜间平均血压≥120/70 mmHg定义为夜间高血压。</w:t>
      </w:r>
    </w:p>
    <w:p w14:paraId="06E224F0">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6．识别真性难治性高血压：在强化生活方式干预的基础上，同时服用3种不同类型的降压药（其中需包含利尿剂≥4周，且每种药物达到最大剂量或最大耐受剂量，如OBPM仍≥140/90mmHg动态血压监测24h平均值≥130/80 mmHg或家庭血压监测平均值≥135/85 mmHg，或需服用≥4种降压药物血压才能达标，则可诊断为难治性高血压。</w:t>
      </w:r>
    </w:p>
    <w:p w14:paraId="63BE7815">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二、高血压的管理</w:t>
      </w:r>
    </w:p>
    <w:p w14:paraId="2BFD9A36">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评估高血压患者血压控制情况：良好的24h血压控制包括三要素，即降低24h血压、维持正常的昼夜节律（杓型）和减小异常的血压变异性（尤其是晨峰血压）。通过ABPM可获取上述重要参数，从而指导调整生活方式和降压药物治疗策略。 </w:t>
      </w:r>
    </w:p>
    <w:p w14:paraId="0D11EC79">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评估药物作用时间、指导个体化降压治疗方案：动态血压监测重复性较好，能更准确地评价药物的量效关系，同时可指导个体化降压治疗方案。例如，建议杓型血压的高血压患者晨起服药，尽量不选择夜间持续作用的控释或缓释药物。另外，还可参考动态血压监测的心率与血压的关系调整用药等。</w:t>
      </w:r>
    </w:p>
    <w:p w14:paraId="1A6E9213">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3．评估高血压患者预后和靶器官损害：多项动态血压监测指标与受检者不良预后和靶器官损害相关，如夜间血压升高与卒中、心脏事件相关。</w:t>
      </w:r>
    </w:p>
    <w:p w14:paraId="2022133B">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值得注意的是，目前国内部分地区动态血压监测可及性较差，医生和患者对开展动态血压监测的重要性认识不足，接受度较差。</w:t>
      </w:r>
    </w:p>
    <w:p w14:paraId="21AEB889">
      <w:pPr>
        <w:keepNext w:val="0"/>
        <w:keepLines w:val="0"/>
        <w:pageBreakBefore w:val="0"/>
        <w:widowControl w:val="0"/>
        <w:kinsoku/>
        <w:wordWrap/>
        <w:overflowPunct/>
        <w:topLinePunct w:val="0"/>
        <w:autoSpaceDE/>
        <w:autoSpaceDN/>
        <w:bidi w:val="0"/>
        <w:adjustRightInd/>
        <w:snapToGrid/>
        <w:spacing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第六部分 动态血压监测在特殊人群中的应用</w:t>
      </w:r>
    </w:p>
    <w:p w14:paraId="21BE3665">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一、老年高血压</w:t>
      </w:r>
    </w:p>
    <w:p w14:paraId="4F29E4C3">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老年高血压患者常收缩压升高和脉压增大，血压容易受各种因素（如体位、进餐等）影响而产生异常波动，最常见为血压昼夜节律异常、体位性血压波动、餐后低血压等。应鼓励并指导老年高血压患者开展诊室外血压监测。</w:t>
      </w:r>
    </w:p>
    <w:p w14:paraId="1539F272">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二、糖尿病</w:t>
      </w:r>
    </w:p>
    <w:p w14:paraId="6B16BE94">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糖尿病患者动态血压监测异常的比例较高，常表现为血压变异性增加、昼夜节律消失，患隐蔽性高血压、难治性高血压比例增加，从而面临更高的心脑血管疾病和死亡风险。可应用动态血压监测判断糖尿病患者的血压特征，鉴别隐蔽性高血压和难治性高血压，评估靶器官损害及预后。</w:t>
      </w:r>
    </w:p>
    <w:p w14:paraId="629A1253">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三、慢性肾脏病</w:t>
      </w:r>
    </w:p>
    <w:p w14:paraId="4BBDDCFB">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夜间高血压、隐蔽性高血压和难治性高血压在慢性肾脏病患者中很常见，尤其是隐蔽性未控制高血压。其他ABPM异常表现为非杓型血压和血压变异性升高，且其患病率随着慢性肾脏病严重程度的增加而升高。</w:t>
      </w:r>
    </w:p>
    <w:p w14:paraId="4DD3796D">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研究显示，在普通人群和慢性肾脏病患者中，诊室外血压与心血管疾病和肾脏预后的相关性高于诊室血压。可应用动态血压监测判断慢性肾脏病患者的血压特征，评估患者预后。</w:t>
      </w:r>
    </w:p>
    <w:p w14:paraId="44E6282F">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四、阻塞性睡眠呼吸暂停低通气综合征</w:t>
      </w:r>
    </w:p>
    <w:p w14:paraId="4CA067E5">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因睡眠过程中间歇性低氧事件，阻塞性睡眠呼吸暂停低通气综合征患者更易出现非杓型或反杓型血压、夜间高血压、血压晨峰升高及血压变异性增加、隐蔽性高血压等。</w:t>
      </w:r>
    </w:p>
    <w:p w14:paraId="40BE8758">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可应用ABPM判断阻塞性睡眠呼吸暂停低通气综合征合并高血压患者的血压特征、昼夜节律，明确有无夜间高血压、清晨高血压和隐蔽性高血压。</w:t>
      </w:r>
    </w:p>
    <w:p w14:paraId="685B1BEC">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五、帕金森病</w:t>
      </w:r>
    </w:p>
    <w:p w14:paraId="0A4B2E97">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帕金森病不同阶段，20%~50%的患者会出现血压异常，包括体位性低血压、卧位高血压及餐后低血压，与自主神经功能异常相关，也与抗帕金森药物的不良反应密切相关，严重影响患者生活质量。必要时可通过动态血压监测明确帕金森病患者的血压变化情况。</w:t>
      </w:r>
    </w:p>
    <w:p w14:paraId="01470205">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六、妊娠期高血压</w:t>
      </w:r>
    </w:p>
    <w:p w14:paraId="1C251EE9">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妊娠期高血压是妊娠期常见并发症，是全球孕产妇和围产儿死亡的主要原因，也是产后远期心脑血管事件的重要危险因素。</w:t>
      </w:r>
    </w:p>
    <w:p w14:paraId="571F80C0">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早期筛查和预防、早诊断、早干预，是诊治妊娠期高血压的重要措施。对于白大衣性高血压、隐蔽性高血压、短暂性或一过性高血压患者等，需要进行动态监测、评估与管理，提倡进行HBPM，有条件者应行ABPM。</w:t>
      </w:r>
    </w:p>
    <w:p w14:paraId="6E9B1C41">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七、儿童及青少年高血压</w:t>
      </w:r>
    </w:p>
    <w:p w14:paraId="4F97CB52">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诊室外血压监测对儿童及青少年高血压的诊断和管理非常重要，建议在儿科高血压专家指导下进行ABPM。</w:t>
      </w:r>
    </w:p>
    <w:p w14:paraId="0D5FDD3D">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在进行ABPM前需向患儿及其家长详细解释检查的原因和监测过程，减少其焦虑、增加依从性。</w:t>
      </w:r>
    </w:p>
    <w:p w14:paraId="31B71579">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八、药物相关性高血压</w:t>
      </w:r>
    </w:p>
    <w:p w14:paraId="3315EC3C">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药物相关性高血压是指因使用某种药物或药物之间发生相互作用而引起的高血压。应在用药前对患者进行评估，在用药期间注意监测血压。</w:t>
      </w:r>
    </w:p>
    <w:p w14:paraId="0D236067">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第七部分 患者指导</w:t>
      </w:r>
    </w:p>
    <w:p w14:paraId="4FFA815A">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1.建议在工作日对受检者进行ABPM，监测期间保持正常的工作和生活状态，以提供与日常工作、生活状态更为接近的血压数据。 </w:t>
      </w:r>
    </w:p>
    <w:p w14:paraId="77A963C7">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2.告知受检者动态血压计测量的时间规律，开始自动测压时会感觉手臂袖带紧张，此时应停止活动，佩戴袖带的手臂要尽量保持静止放松的状态，勿讲话，直至该次测量完成。 </w:t>
      </w:r>
    </w:p>
    <w:p w14:paraId="3865B45E">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监测过程中应注意保护好血压计，切忌碰撞，避免剧烈震动、进水，避免接近强磁场和放射性环境。关注袖带位置是否移动、松脱，如有问题应重新调整。同时，注意避免袖带压力管打折、受压、扭曲或连接管脱落。 </w:t>
      </w:r>
    </w:p>
    <w:p w14:paraId="30C5435B">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4.监测期间不建议开车，如需开车在血压测量时尽量先停车。 </w:t>
      </w:r>
    </w:p>
    <w:p w14:paraId="5838BE96">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5.建议使用动态血压日记卡记录受检者血压监测当天的生活作息，包括起床、睡眠、午休、三餐时间，活动、服药信息，以及精神状态和症状，以便后期更准确地书写ABPM报告。</w:t>
      </w:r>
    </w:p>
    <w:p w14:paraId="0ADC79A2">
      <w:pPr>
        <w:keepNext w:val="0"/>
        <w:keepLines w:val="0"/>
        <w:pageBreakBefore w:val="0"/>
        <w:widowControl w:val="0"/>
        <w:kinsoku/>
        <w:wordWrap/>
        <w:overflowPunct/>
        <w:topLinePunct w:val="0"/>
        <w:autoSpaceDE/>
        <w:autoSpaceDN/>
        <w:bidi w:val="0"/>
        <w:adjustRightInd/>
        <w:snapToGrid/>
        <w:spacing w:after="0" w:line="590" w:lineRule="exact"/>
        <w:ind w:firstLine="643"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第八部分 动态血压监测的局限性</w:t>
      </w:r>
    </w:p>
    <w:p w14:paraId="017E28F0">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1.ABPM 仍是间断性测压而不是连续性，无法获得瞬时血压波动信息。</w:t>
      </w:r>
    </w:p>
    <w:p w14:paraId="064631E2">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2.技术误差、患者状态、机械性能及某些疾病（如心房颤动等）等均可影响血压测量结果的准确性。 </w:t>
      </w:r>
    </w:p>
    <w:p w14:paraId="2823703C">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3.ABPM的可及性和应用成本。 </w:t>
      </w:r>
    </w:p>
    <w:p w14:paraId="0BB8AA5C">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rPr>
      </w:pPr>
    </w:p>
    <w:p w14:paraId="3CFB9983">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p>
    <w:p w14:paraId="49B1AB4B">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p>
    <w:p w14:paraId="2DB370C1">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p>
    <w:p w14:paraId="219FCB2F">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p>
    <w:p w14:paraId="38E4E1B3">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p>
    <w:p w14:paraId="32D4714A">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lang w:eastAsia="zh-CN"/>
        </w:rPr>
      </w:pPr>
    </w:p>
    <w:p w14:paraId="1F6DF9FC">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lang w:eastAsia="zh-CN"/>
        </w:rPr>
      </w:pPr>
    </w:p>
    <w:p w14:paraId="3851AE31">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lang w:eastAsia="zh-CN"/>
        </w:rPr>
      </w:pPr>
    </w:p>
    <w:p w14:paraId="62568658">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lang w:eastAsia="zh-CN"/>
        </w:rPr>
      </w:pPr>
    </w:p>
    <w:p w14:paraId="79C3A4A5">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lang w:eastAsia="zh-CN"/>
        </w:rPr>
      </w:pPr>
    </w:p>
    <w:p w14:paraId="2F309FE9">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lang w:eastAsia="zh-CN"/>
        </w:rPr>
      </w:pPr>
    </w:p>
    <w:p w14:paraId="77E4CBD7">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lang w:eastAsia="zh-CN"/>
        </w:rPr>
      </w:pPr>
    </w:p>
    <w:p w14:paraId="67CC1FD2">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b/>
          <w:bCs/>
          <w:sz w:val="32"/>
          <w:szCs w:val="32"/>
          <w:lang w:eastAsia="zh-CN"/>
        </w:rPr>
      </w:pPr>
    </w:p>
    <w:p w14:paraId="505DB8CD">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eastAsia="zh-CN"/>
        </w:rPr>
        <w:t>附</w:t>
      </w:r>
      <w:r>
        <w:rPr>
          <w:rFonts w:hint="eastAsia" w:ascii="仿宋_GB2312" w:hAnsi="仿宋_GB2312" w:eastAsia="仿宋_GB2312" w:cs="仿宋_GB2312"/>
          <w:b/>
          <w:bCs/>
          <w:sz w:val="32"/>
          <w:szCs w:val="32"/>
        </w:rPr>
        <w:t>单项选择题</w:t>
      </w:r>
    </w:p>
    <w:p w14:paraId="0B01E05D">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1．关于血压监测结果有效性判断，以下正确的是（  ）</w:t>
      </w:r>
    </w:p>
    <w:p w14:paraId="1B67439E">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A．ABPM的时间应尽可能不少于24小时，有效读数在设定应获得读数的80%以上，日间血压读数至少20个，夜间血压读数至少5个</w:t>
      </w:r>
    </w:p>
    <w:p w14:paraId="78E13B5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B．ABPM的时间应尽可能不少于24小时，有效读数在设定应获得读数的70%以上，日间血压读数至少20个，夜间血压读数至少7个</w:t>
      </w:r>
    </w:p>
    <w:p w14:paraId="2050635D">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C．ABPM的时间应尽可能不少于20小时，有效读数在设定应获得读数的80%以上，日间血压读数至少20个，夜间血压读数至少5个</w:t>
      </w:r>
    </w:p>
    <w:p w14:paraId="782FAD07">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D．ABPM的时间应尽可能不少于20小时，有效读数在设定应获得读数的70%以上，日间血压读数至少20个，夜间血压读数至少7个</w:t>
      </w:r>
    </w:p>
    <w:p w14:paraId="22943F2E">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ABPM的适应证包括（  ）</w:t>
      </w:r>
    </w:p>
    <w:p w14:paraId="06D4312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A．新近发现诊室或随机测量血压升高需确诊者</w:t>
      </w:r>
    </w:p>
    <w:p w14:paraId="422C6791">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B．接受降压药物治疗后，血压仍未达标或血压变化波动大的患者；</w:t>
      </w:r>
    </w:p>
    <w:p w14:paraId="3C8DF9D2">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C．难治性高血压患者；</w:t>
      </w:r>
    </w:p>
    <w:p w14:paraId="743ECFDE">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D．以上均是</w:t>
      </w:r>
    </w:p>
    <w:p w14:paraId="6E827494">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关于动态血压监测方法，以下</w:t>
      </w:r>
      <w:r>
        <w:rPr>
          <w:rFonts w:hint="eastAsia" w:ascii="仿宋_GB2312" w:hAnsi="仿宋_GB2312" w:eastAsia="仿宋_GB2312" w:cs="仿宋_GB2312"/>
          <w:sz w:val="32"/>
          <w:szCs w:val="32"/>
          <w:u w:val="single"/>
        </w:rPr>
        <w:t>错误</w:t>
      </w:r>
      <w:r>
        <w:rPr>
          <w:rFonts w:hint="eastAsia" w:ascii="仿宋_GB2312" w:hAnsi="仿宋_GB2312" w:eastAsia="仿宋_GB2312" w:cs="仿宋_GB2312"/>
          <w:sz w:val="32"/>
          <w:szCs w:val="32"/>
        </w:rPr>
        <w:t>的是（  ）</w:t>
      </w:r>
    </w:p>
    <w:p w14:paraId="2471FEC9">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A．应选择通过国际标准方案验证的ABPM设备</w:t>
      </w:r>
    </w:p>
    <w:p w14:paraId="318121E7">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B．所有医护人员均可为受检者安装ABPM设备</w:t>
      </w:r>
    </w:p>
    <w:p w14:paraId="6F721457">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C．进行ABPM时应为患者提供动态血压日记卡</w:t>
      </w:r>
    </w:p>
    <w:p w14:paraId="0069B08F">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D．监测完成后出具标准化的ABPM报告</w:t>
      </w:r>
    </w:p>
    <w:p w14:paraId="4484877C">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4.根据本《指南》，动态血压诊断高血压的标准，正确的是（  ）</w:t>
      </w:r>
    </w:p>
    <w:p w14:paraId="265D125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A．24平均血压≥135/85 mmHg；日间（清醒）平均血压≥140/90 mmHg；夜间（睡眠）平均血压≥120/70 mmHg</w:t>
      </w:r>
    </w:p>
    <w:p w14:paraId="33961A47">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B．24平均血压≥135/85 mmHg；日间（清醒）平均血压≥140/90 mmHg；夜间（睡眠）平均血压≥120/70 mmHg</w:t>
      </w:r>
    </w:p>
    <w:p w14:paraId="449E2CC9">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C．24平均血压≥130/80 mmHg；日间（清醒）平均血压≥135/85 mmHg；夜间（睡眠）平均血压≥120/70 mmHg</w:t>
      </w:r>
    </w:p>
    <w:p w14:paraId="42C35D74">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D．24平均血压≥130/80 mmHg；日间（清醒）平均血压≥135/85 mmHg；夜间（睡眠）平均血压≥125/75 mmHg</w:t>
      </w:r>
    </w:p>
    <w:p w14:paraId="7A5375FE">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5.行动态血压监测时，针对患者指导，正确的是（  ）</w:t>
      </w:r>
    </w:p>
    <w:p w14:paraId="4C9B6FE1">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A.建议在休息日对受检者进行ABPM </w:t>
      </w:r>
    </w:p>
    <w:p w14:paraId="021FEC99">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B.告知受检者动态血压计测量的时间规律，开始自动测压时会感觉手臂袖带紧张，此时可以继续活动、讲话 </w:t>
      </w:r>
    </w:p>
    <w:p w14:paraId="1DC4659A">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监测过程中应注意保护好血压计，切忌碰撞，避免剧烈震动、进水，避免接近强磁场和放射性环境。关注袖带位置是否移动、松脱，如有问题应重新调整。同时，注意避免袖带压力管打折、受压、扭曲或连接管脱落</w:t>
      </w:r>
    </w:p>
    <w:p w14:paraId="6AB725AB">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D.监测期间可以开车，开车状态血压测量时可以不停车。 </w:t>
      </w:r>
    </w:p>
    <w:p w14:paraId="43178C1D">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6.行动态血压监测时，关于袖带的选择与安装要求，正确的是（  ）</w:t>
      </w:r>
    </w:p>
    <w:p w14:paraId="0468D175">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A．大部分成年人选择标准袖带，肥胖、上臂臂围较大（≥32cm）者选择大袖带，臂围较小（&lt;24cm）者选择小袖带</w:t>
      </w:r>
    </w:p>
    <w:p w14:paraId="699B28FA">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B．儿童应根据臂围选择对应的袖带，袖带气囊长度需覆盖上臂周径至少80%，宽度为长度的40%</w:t>
      </w:r>
    </w:p>
    <w:p w14:paraId="31979ADB">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C．袖带压力管应在上臂外延向上伸出，确保前臂活动不受限，并将袖带上的指示箭头对准前臂肱动脉搏动处，袖带下缘应位于肘窝上约2.5cm，固定松紧适宜，以能插入1~2手指为宜</w:t>
      </w:r>
    </w:p>
    <w:p w14:paraId="33C81B1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D．以上均对</w:t>
      </w:r>
    </w:p>
    <w:p w14:paraId="1D8682FC">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7.行动态血压监测前应分别测量左右两侧上臂诊室血压，关于监测手臂的选择，正确的是（  ）</w:t>
      </w:r>
    </w:p>
    <w:p w14:paraId="091ED2C5">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A．差值≥10mmHg时应选择血压读数高的一侧进行监测，差值＜10mmHg时则选择非优势手臂，以减少手臂活动造成的影响</w:t>
      </w:r>
    </w:p>
    <w:p w14:paraId="30716B3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B．差值≥10mmHg时应选择血压读数高的一侧进行监测，差值＜5mmHg时则选择非优势手臂，以减少手臂活动造成的影响</w:t>
      </w:r>
    </w:p>
    <w:p w14:paraId="16A0DF9B">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C．差值≥15mmHg时应选择血压读数高的一侧进行监测，差值＜10mmHg时则选择非优势手臂，以减少手臂活动造成的影响</w:t>
      </w:r>
    </w:p>
    <w:p w14:paraId="6305DC35">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D．差值≥15mmHg时应选择血压读数高的一侧进行监测，差值＜5mmHg时则选择非优势手臂，以减少手臂活动造成的影响</w:t>
      </w:r>
    </w:p>
    <w:p w14:paraId="3975F7D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8.动态血压安装前注意事项包括（ D ）</w:t>
      </w:r>
    </w:p>
    <w:p w14:paraId="2D123330">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A．了解病史，评估适应证；选择设备，选择方案</w:t>
      </w:r>
    </w:p>
    <w:p w14:paraId="2F22D543">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B．检查设备完好、电池电量充足</w:t>
      </w:r>
    </w:p>
    <w:p w14:paraId="5387E857">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C．核对受检者信息，受检者需穿着宽松的衣服</w:t>
      </w:r>
    </w:p>
    <w:p w14:paraId="0CBD1F3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D．以上均是</w:t>
      </w:r>
    </w:p>
    <w:p w14:paraId="4AF50B4F">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9.关于动态血压监测在特殊人群中的应用，</w:t>
      </w:r>
      <w:r>
        <w:rPr>
          <w:rFonts w:hint="eastAsia" w:ascii="仿宋_GB2312" w:hAnsi="仿宋_GB2312" w:eastAsia="仿宋_GB2312" w:cs="仿宋_GB2312"/>
          <w:sz w:val="32"/>
          <w:szCs w:val="32"/>
          <w:u w:val="single"/>
        </w:rPr>
        <w:t>错误</w:t>
      </w:r>
      <w:r>
        <w:rPr>
          <w:rFonts w:hint="eastAsia" w:ascii="仿宋_GB2312" w:hAnsi="仿宋_GB2312" w:eastAsia="仿宋_GB2312" w:cs="仿宋_GB2312"/>
          <w:sz w:val="32"/>
          <w:szCs w:val="32"/>
        </w:rPr>
        <w:t>的是（ D ）</w:t>
      </w:r>
    </w:p>
    <w:p w14:paraId="359B96D7">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A．应鼓励并指导老年高血压患者开展诊室外血压监测</w:t>
      </w:r>
    </w:p>
    <w:p w14:paraId="5F2674F3">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B．可应用动态血压监测判断糖尿病患者的血压特征，鉴别隐蔽性高血压和难治性高血压，评估靶器官损害及预后</w:t>
      </w:r>
    </w:p>
    <w:p w14:paraId="60ED34A4">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C．可应用ABPM判断阻塞性睡眠呼吸暂停低通气综合征合并高血压患者的血压特征、昼夜节律，明确有无夜间高血压、清晨高血压和隐蔽性高血压</w:t>
      </w:r>
    </w:p>
    <w:p w14:paraId="32B6C65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D．儿童及青少年在进行ABPM前无需向患儿及其家长解释检查的原因和监测过程</w:t>
      </w:r>
    </w:p>
    <w:p w14:paraId="6A1D55AB">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10.林先生，男性，62岁，行动态血压监测，结果为：24平均血压136/82 mmHg；日间（清醒）平均血压126/74 mmHg；夜间（睡眠）平均血压142/86 mmHg。他的血压昼夜节律为（  ）</w:t>
      </w:r>
    </w:p>
    <w:p w14:paraId="641A0B0C">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A．杓型</w:t>
      </w:r>
    </w:p>
    <w:p w14:paraId="175D1576">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B．非杓型</w:t>
      </w:r>
    </w:p>
    <w:p w14:paraId="62FCAFC3">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C．反杓型</w:t>
      </w:r>
    </w:p>
    <w:p w14:paraId="20CD38B1">
      <w:pPr>
        <w:keepNext w:val="0"/>
        <w:keepLines w:val="0"/>
        <w:pageBreakBefore w:val="0"/>
        <w:widowControl w:val="0"/>
        <w:kinsoku/>
        <w:wordWrap/>
        <w:overflowPunct/>
        <w:topLinePunct w:val="0"/>
        <w:autoSpaceDE/>
        <w:autoSpaceDN/>
        <w:bidi w:val="0"/>
        <w:adjustRightInd/>
        <w:snapToGrid/>
        <w:spacing w:after="0"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D．超杓型</w:t>
      </w:r>
    </w:p>
    <w:p w14:paraId="3FE524C9">
      <w:pPr>
        <w:keepNext w:val="0"/>
        <w:keepLines w:val="0"/>
        <w:pageBreakBefore w:val="0"/>
        <w:widowControl w:val="0"/>
        <w:kinsoku/>
        <w:wordWrap/>
        <w:overflowPunct/>
        <w:topLinePunct w:val="0"/>
        <w:autoSpaceDE/>
        <w:autoSpaceDN/>
        <w:bidi w:val="0"/>
        <w:adjustRightInd/>
        <w:snapToGrid/>
        <w:spacing w:after="0" w:line="590" w:lineRule="exact"/>
        <w:ind w:firstLine="640" w:firstLineChars="200"/>
        <w:jc w:val="both"/>
        <w:textAlignment w:val="auto"/>
        <w:rPr>
          <w:rFonts w:hint="eastAsia" w:ascii="仿宋_GB2312" w:hAnsi="仿宋_GB2312" w:eastAsia="仿宋_GB2312" w:cs="仿宋_GB2312"/>
          <w:sz w:val="32"/>
          <w:szCs w:val="32"/>
        </w:rPr>
      </w:pPr>
    </w:p>
    <w:sectPr>
      <w:pgSz w:w="11906" w:h="16838"/>
      <w:pgMar w:top="1814" w:right="1587" w:bottom="1701" w:left="1587" w:header="851" w:footer="992" w:gutter="0"/>
      <w:paperSrc/>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F33"/>
    <w:rsid w:val="00020E32"/>
    <w:rsid w:val="00076B74"/>
    <w:rsid w:val="000B420E"/>
    <w:rsid w:val="00122CCA"/>
    <w:rsid w:val="001521AD"/>
    <w:rsid w:val="001959A7"/>
    <w:rsid w:val="002301C4"/>
    <w:rsid w:val="00261F6B"/>
    <w:rsid w:val="002D004E"/>
    <w:rsid w:val="002D5438"/>
    <w:rsid w:val="002E2F33"/>
    <w:rsid w:val="002E5FB3"/>
    <w:rsid w:val="00310444"/>
    <w:rsid w:val="00381255"/>
    <w:rsid w:val="003A4276"/>
    <w:rsid w:val="003A4BCB"/>
    <w:rsid w:val="003C28FF"/>
    <w:rsid w:val="003C7020"/>
    <w:rsid w:val="003F277A"/>
    <w:rsid w:val="003F7C12"/>
    <w:rsid w:val="004010B0"/>
    <w:rsid w:val="00430333"/>
    <w:rsid w:val="00483428"/>
    <w:rsid w:val="004A20C1"/>
    <w:rsid w:val="004B594E"/>
    <w:rsid w:val="005A32FA"/>
    <w:rsid w:val="005C6AB4"/>
    <w:rsid w:val="007134B4"/>
    <w:rsid w:val="0072779A"/>
    <w:rsid w:val="00730A0B"/>
    <w:rsid w:val="00730DDB"/>
    <w:rsid w:val="00766C74"/>
    <w:rsid w:val="007839DB"/>
    <w:rsid w:val="007B33BE"/>
    <w:rsid w:val="007F13F0"/>
    <w:rsid w:val="008009CA"/>
    <w:rsid w:val="00813AE1"/>
    <w:rsid w:val="0082138E"/>
    <w:rsid w:val="00886FB4"/>
    <w:rsid w:val="008A437B"/>
    <w:rsid w:val="00911C2C"/>
    <w:rsid w:val="00952047"/>
    <w:rsid w:val="00987D47"/>
    <w:rsid w:val="00996C04"/>
    <w:rsid w:val="009A3561"/>
    <w:rsid w:val="009C5A6D"/>
    <w:rsid w:val="009E1C9A"/>
    <w:rsid w:val="00A048BF"/>
    <w:rsid w:val="00A63821"/>
    <w:rsid w:val="00AF538F"/>
    <w:rsid w:val="00B147A7"/>
    <w:rsid w:val="00B3498E"/>
    <w:rsid w:val="00B40FB7"/>
    <w:rsid w:val="00B55C38"/>
    <w:rsid w:val="00BE0B07"/>
    <w:rsid w:val="00C03FF8"/>
    <w:rsid w:val="00C164B3"/>
    <w:rsid w:val="00C2483B"/>
    <w:rsid w:val="00C41CBE"/>
    <w:rsid w:val="00C8101E"/>
    <w:rsid w:val="00CE6098"/>
    <w:rsid w:val="00CF17FD"/>
    <w:rsid w:val="00D81479"/>
    <w:rsid w:val="00D84A84"/>
    <w:rsid w:val="00D95D7D"/>
    <w:rsid w:val="00E16C9A"/>
    <w:rsid w:val="00EB20E5"/>
    <w:rsid w:val="00EB37C2"/>
    <w:rsid w:val="00ED55C6"/>
    <w:rsid w:val="00F733F5"/>
    <w:rsid w:val="00F82A6B"/>
    <w:rsid w:val="00FD6581"/>
    <w:rsid w:val="0CC2416B"/>
    <w:rsid w:val="26DF06AC"/>
    <w:rsid w:val="3C601127"/>
    <w:rsid w:val="48C01416"/>
    <w:rsid w:val="57A5738B"/>
    <w:rsid w:val="5A9A2A61"/>
    <w:rsid w:val="60C74A21"/>
    <w:rsid w:val="793218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spacing w:line="240" w:lineRule="auto"/>
    </w:pPr>
    <w:rPr>
      <w:sz w:val="18"/>
      <w:szCs w:val="18"/>
    </w:rPr>
  </w:style>
  <w:style w:type="paragraph" w:styleId="12">
    <w:name w:val="header"/>
    <w:basedOn w:val="1"/>
    <w:link w:val="36"/>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Strong"/>
    <w:basedOn w:val="16"/>
    <w:autoRedefine/>
    <w:qFormat/>
    <w:uiPriority w:val="0"/>
    <w:rPr>
      <w:b/>
    </w:rPr>
  </w:style>
  <w:style w:type="character" w:customStyle="1" w:styleId="18">
    <w:name w:val="标题 1 字符"/>
    <w:basedOn w:val="16"/>
    <w:link w:val="2"/>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6"/>
    <w:link w:val="4"/>
    <w:semiHidden/>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6"/>
    <w:link w:val="5"/>
    <w:semiHidden/>
    <w:uiPriority w:val="9"/>
    <w:rPr>
      <w:rFonts w:cstheme="majorBidi"/>
      <w:color w:val="2F5597" w:themeColor="accent1" w:themeShade="BF"/>
      <w:sz w:val="28"/>
      <w:szCs w:val="28"/>
    </w:rPr>
  </w:style>
  <w:style w:type="character" w:customStyle="1" w:styleId="22">
    <w:name w:val="标题 5 字符"/>
    <w:basedOn w:val="16"/>
    <w:link w:val="6"/>
    <w:semiHidden/>
    <w:uiPriority w:val="9"/>
    <w:rPr>
      <w:rFonts w:cstheme="majorBidi"/>
      <w:color w:val="2F5597" w:themeColor="accent1" w:themeShade="BF"/>
      <w:sz w:val="24"/>
    </w:rPr>
  </w:style>
  <w:style w:type="character" w:customStyle="1" w:styleId="23">
    <w:name w:val="标题 6 字符"/>
    <w:basedOn w:val="16"/>
    <w:link w:val="7"/>
    <w:semiHidden/>
    <w:uiPriority w:val="9"/>
    <w:rPr>
      <w:rFonts w:cstheme="majorBidi"/>
      <w:b/>
      <w:bCs/>
      <w:color w:val="2F5597" w:themeColor="accent1" w:themeShade="BF"/>
    </w:rPr>
  </w:style>
  <w:style w:type="character" w:customStyle="1" w:styleId="24">
    <w:name w:val="标题 7 字符"/>
    <w:basedOn w:val="16"/>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Intense Emphasis"/>
    <w:basedOn w:val="16"/>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6"/>
    <w:link w:val="33"/>
    <w:uiPriority w:val="30"/>
    <w:rPr>
      <w:i/>
      <w:iCs/>
      <w:color w:val="2F5597" w:themeColor="accent1" w:themeShade="BF"/>
    </w:rPr>
  </w:style>
  <w:style w:type="character" w:customStyle="1" w:styleId="35">
    <w:name w:val="Intense Reference"/>
    <w:basedOn w:val="16"/>
    <w:qFormat/>
    <w:uiPriority w:val="32"/>
    <w:rPr>
      <w:b/>
      <w:bCs/>
      <w:smallCaps/>
      <w:color w:val="2F5597" w:themeColor="accent1" w:themeShade="BF"/>
      <w:spacing w:val="5"/>
    </w:rPr>
  </w:style>
  <w:style w:type="character" w:customStyle="1" w:styleId="36">
    <w:name w:val="页眉 字符"/>
    <w:basedOn w:val="16"/>
    <w:link w:val="12"/>
    <w:uiPriority w:val="99"/>
    <w:rPr>
      <w:sz w:val="18"/>
      <w:szCs w:val="18"/>
    </w:rPr>
  </w:style>
  <w:style w:type="character" w:customStyle="1" w:styleId="37">
    <w:name w:val="页脚 字符"/>
    <w:basedOn w:val="16"/>
    <w:link w:val="11"/>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6979</Words>
  <Characters>7801</Characters>
  <Lines>57</Lines>
  <Paragraphs>16</Paragraphs>
  <TotalTime>43</TotalTime>
  <ScaleCrop>false</ScaleCrop>
  <LinksUpToDate>false</LinksUpToDate>
  <CharactersWithSpaces>7900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2025-03-16T07:48:00Z</dcterms:created>
  <dc:creator>河卒 过</dc:creator>
  <cp:lastModifiedBy>轻舞飞扬</cp:lastModifiedBy>
  <dcterms:modified xsi:type="dcterms:W3CDTF">2026-01-07T09:28:38Z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eyJoZGlkIjoiODBmNTMzZjkzYzI0YjY0ZTVkNDZkMTM4NTY2ZGEwNjciLCJ1c2VySWQiOiI1OTU4NDk1MTUifQ==</vt:lpwstr>
  </property>
  <property fmtid="{D5CDD505-2E9C-101B-9397-08002B2CF9AE}" pid="3" name="KSOProductBuildVer">
    <vt:lpwstr>2052-12.1.0.24034</vt:lpwstr>
  </property>
  <property fmtid="{D5CDD505-2E9C-101B-9397-08002B2CF9AE}" pid="4" name="ICV">
    <vt:lpwstr>BCACA6DCE9E1405AB412A6762013266F_12</vt:lpwstr>
  </property>
</Properties>
</file>